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EB760E">
              <w:rPr>
                <w:color w:val="000000"/>
              </w:rPr>
              <w:t>233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EB760E">
        <w:rPr>
          <w:b/>
          <w:szCs w:val="28"/>
        </w:rPr>
        <w:t>Кухаревой</w:t>
      </w:r>
      <w:proofErr w:type="spellEnd"/>
      <w:r w:rsidR="00EB760E">
        <w:rPr>
          <w:b/>
          <w:szCs w:val="28"/>
        </w:rPr>
        <w:t xml:space="preserve"> Татьяны Васильевн</w:t>
      </w:r>
      <w:bookmarkStart w:id="0" w:name="_GoBack"/>
      <w:bookmarkEnd w:id="0"/>
      <w:r w:rsidR="00EB760E">
        <w:rPr>
          <w:b/>
          <w:szCs w:val="28"/>
        </w:rPr>
        <w:t>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A0316A">
        <w:rPr>
          <w:b/>
          <w:snapToGrid w:val="0"/>
          <w:szCs w:val="28"/>
        </w:rPr>
        <w:t xml:space="preserve"> 1154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0316A">
        <w:rPr>
          <w:snapToGrid w:val="0"/>
          <w:szCs w:val="28"/>
        </w:rPr>
        <w:t>1154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EC6B3F">
        <w:rPr>
          <w:szCs w:val="28"/>
        </w:rPr>
        <w:t xml:space="preserve">Н.В. </w:t>
      </w:r>
      <w:proofErr w:type="spellStart"/>
      <w:r w:rsidR="00EC6B3F">
        <w:rPr>
          <w:szCs w:val="28"/>
        </w:rPr>
        <w:t>Ильягуевой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EC6B3F">
        <w:rPr>
          <w:snapToGrid w:val="0"/>
          <w:szCs w:val="28"/>
        </w:rPr>
        <w:t>35/231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EC6B3F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A0316A">
        <w:rPr>
          <w:snapToGrid w:val="0"/>
          <w:szCs w:val="28"/>
        </w:rPr>
        <w:t xml:space="preserve"> 1154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EC6B3F">
        <w:rPr>
          <w:snapToGrid w:val="0"/>
          <w:szCs w:val="28"/>
        </w:rPr>
        <w:t>Кухареву</w:t>
      </w:r>
      <w:proofErr w:type="spellEnd"/>
      <w:r w:rsidR="00EC6B3F">
        <w:rPr>
          <w:snapToGrid w:val="0"/>
          <w:szCs w:val="28"/>
        </w:rPr>
        <w:t xml:space="preserve"> Татьяну Васильевну, 1952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EC6B3F">
        <w:rPr>
          <w:snapToGrid w:val="0"/>
          <w:szCs w:val="28"/>
        </w:rPr>
        <w:t>высшее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EC6B3F">
        <w:rPr>
          <w:szCs w:val="28"/>
        </w:rPr>
        <w:t>пенсионер</w:t>
      </w:r>
      <w:r w:rsidR="00796B54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EC6B3F" w:rsidRPr="00EC6B3F">
        <w:rPr>
          <w:snapToGrid w:val="0"/>
          <w:szCs w:val="28"/>
        </w:rPr>
        <w:t>Удомельским местным отделением политической партии «КОММУНИСТИЧЕСКАЯ ПАРТИЯ РОССИЙСКОЙ ФЕДЕРАЦИИ»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51" w:rsidRDefault="00695751" w:rsidP="00DD105A">
      <w:r>
        <w:separator/>
      </w:r>
    </w:p>
  </w:endnote>
  <w:endnote w:type="continuationSeparator" w:id="0">
    <w:p w:rsidR="00695751" w:rsidRDefault="00695751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51" w:rsidRDefault="00695751" w:rsidP="00DD105A">
      <w:r>
        <w:separator/>
      </w:r>
    </w:p>
  </w:footnote>
  <w:footnote w:type="continuationSeparator" w:id="0">
    <w:p w:rsidR="00695751" w:rsidRDefault="00695751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352A"/>
    <w:rsid w:val="005F15D8"/>
    <w:rsid w:val="00657E4D"/>
    <w:rsid w:val="00670BF5"/>
    <w:rsid w:val="00680F40"/>
    <w:rsid w:val="00681848"/>
    <w:rsid w:val="00695751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8450F"/>
    <w:rsid w:val="00E92085"/>
    <w:rsid w:val="00E96497"/>
    <w:rsid w:val="00EA7BA5"/>
    <w:rsid w:val="00EB372F"/>
    <w:rsid w:val="00EB42D9"/>
    <w:rsid w:val="00EB760E"/>
    <w:rsid w:val="00EC19BF"/>
    <w:rsid w:val="00EC6B3F"/>
    <w:rsid w:val="00EC6B7B"/>
    <w:rsid w:val="00ED3CB7"/>
    <w:rsid w:val="00EE5C79"/>
    <w:rsid w:val="00F154D2"/>
    <w:rsid w:val="00F23704"/>
    <w:rsid w:val="00F36674"/>
    <w:rsid w:val="00F45CC8"/>
    <w:rsid w:val="00F54625"/>
    <w:rsid w:val="00F65F6F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0575-06A7-461D-A9A0-E3BB9BE1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2018-01-28T10:22:00Z</dcterms:created>
  <dcterms:modified xsi:type="dcterms:W3CDTF">2018-02-09T15:40:00Z</dcterms:modified>
</cp:coreProperties>
</file>